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bCs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spacing w:val="-10"/>
          <w:kern w:val="0"/>
          <w:sz w:val="44"/>
          <w:szCs w:val="44"/>
        </w:rPr>
        <w:t>苏州大学</w:t>
      </w:r>
      <w:r>
        <w:rPr>
          <w:rFonts w:hint="eastAsia" w:ascii="方正小标宋_GBK" w:hAnsi="宋体" w:eastAsia="方正小标宋_GBK" w:cs="宋体"/>
          <w:bCs/>
          <w:color w:val="000000"/>
          <w:spacing w:val="-10"/>
          <w:kern w:val="0"/>
          <w:sz w:val="44"/>
          <w:szCs w:val="44"/>
          <w:lang w:eastAsia="zh-CN"/>
        </w:rPr>
        <w:t>光电科学与工程学院</w:t>
      </w:r>
    </w:p>
    <w:p>
      <w:pPr>
        <w:jc w:val="center"/>
        <w:rPr>
          <w:rFonts w:hint="eastAsia" w:ascii="方正小标宋_GBK" w:hAnsi="宋体" w:eastAsia="方正小标宋_GBK" w:cs="宋体"/>
          <w:bCs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spacing w:val="-10"/>
          <w:kern w:val="0"/>
          <w:sz w:val="44"/>
          <w:szCs w:val="44"/>
        </w:rPr>
        <w:t>本科生成长发展积分实施细则</w:t>
      </w:r>
      <w:bookmarkStart w:id="0" w:name="_GoBack"/>
      <w:bookmarkEnd w:id="0"/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深入学习贯彻习近平新时代中国特色社会主义思想，落实立德树人根本任务，进一步推进苏州大学“铸魂逐梦”工程，加强学生思想品德与综合素养的培养，引导学生践行社会主义核心价值观，促进学生德智体美劳全面发展，根据《苏州大学全日制本科生校设奖学金评定实施细则（2019年修订）》和《苏州大学全日制本科生德育和学业测评细则（2019年修订）》文件要求，学院研究制定《苏州大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光电科学与工程学院</w:t>
      </w:r>
      <w:r>
        <w:rPr>
          <w:rFonts w:hint="eastAsia" w:ascii="仿宋" w:hAnsi="仿宋" w:eastAsia="仿宋" w:cs="Times New Roman"/>
          <w:sz w:val="32"/>
          <w:szCs w:val="32"/>
        </w:rPr>
        <w:t>本科生成长发展积分实施细则》，进一步将德育测评落到细处、用到实处，助力学生健康成长、全面发展。</w:t>
      </w:r>
    </w:p>
    <w:p>
      <w:pPr>
        <w:pStyle w:val="2"/>
        <w:snapToGrid w:val="0"/>
        <w:spacing w:line="580" w:lineRule="exact"/>
        <w:ind w:firstLine="643" w:firstLineChars="200"/>
        <w:jc w:val="both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一、成长发展积分制实施范围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苏州大学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光电科学与工程学院</w:t>
      </w:r>
      <w:r>
        <w:rPr>
          <w:rFonts w:hint="eastAsia" w:ascii="仿宋" w:hAnsi="仿宋" w:eastAsia="仿宋" w:cs="Times New Roman"/>
          <w:sz w:val="32"/>
          <w:szCs w:val="32"/>
        </w:rPr>
        <w:t>在籍的全日制本科生</w:t>
      </w:r>
    </w:p>
    <w:p>
      <w:pPr>
        <w:pStyle w:val="2"/>
        <w:snapToGrid w:val="0"/>
        <w:spacing w:line="580" w:lineRule="exact"/>
        <w:ind w:firstLine="643" w:firstLineChars="200"/>
        <w:jc w:val="both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二、成长发展积分主要评价指标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1.成长发展积分由基础分、发展分两个模块组成。每学年每位学生的基础分为60分，发展分累计上限40分。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2.基础分主要反映学生思想品德、行为规范等方面的情况，要求学生做到：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坚决拥护中国共产党的纲领，以马克思列宁主义、毛泽东思想、邓小平理论、“三个代表”重要思想、科学发展观、习近平新时代中国特色社会主义思想为行动指南，贯彻党的基本理论、基本路线、基本方略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遵守我国宪法法律，严格遵守校纪校规，法制观念强，坚决抵制违法违纪行为。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3.发展分主要是反映学生积极进取、主动服务、参赛获奖等方面的情况，其内容主要包括参加活动、讲座、比赛获奖、担任学生骨干、参加团体活动等。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4.成长发展积分的应用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（1）与德育测评等级匹配，与校设奖学金评定挂钩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《苏州大学全日制本科生校设奖学金评定实施细则（2019年修订）》和《苏州大学全日制本科生德育和学业测评细则（2019年修订）》文件要求，德育测评由学院本科生奖助学金评议小组根据有关材料和实际表现，对每位学生进行民主评议和测评，等级依次为A、B、C、D、F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德育测评成绩等级在B级以上（含B级），方能参加苏州大学全日制本科生校设奖学金评定；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德育测评成绩等级在A级，方能参加苏州大学优秀学生干部、苏州大学三好学生、苏州大学优秀学生干部标兵、苏州大学三好学生标兵等荣誉评定；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如</w:t>
      </w:r>
      <w:r>
        <w:rPr>
          <w:rFonts w:ascii="仿宋" w:hAnsi="仿宋" w:eastAsia="仿宋" w:cs="Times New Roman"/>
          <w:sz w:val="32"/>
          <w:szCs w:val="32"/>
        </w:rPr>
        <w:t>学生有考试作弊、论文抄袭、恶意拖欠学费、制造虚假履历、逃避兵役、网络传播谣言等严重失信行为</w:t>
      </w:r>
      <w:r>
        <w:rPr>
          <w:rFonts w:hint="eastAsia" w:ascii="仿宋" w:hAnsi="仿宋" w:eastAsia="仿宋" w:cs="Times New Roman"/>
          <w:sz w:val="32"/>
          <w:szCs w:val="32"/>
        </w:rPr>
        <w:t>，成长发展分为60分以下，德育测评等级为F。</w:t>
      </w:r>
    </w:p>
    <w:p>
      <w:pPr>
        <w:pStyle w:val="2"/>
        <w:snapToGrid w:val="0"/>
        <w:spacing w:line="580" w:lineRule="exact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德育测评等级与成长发展积分对应说明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德育测评等级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对应成长发展积分数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A级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90-100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B级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80-89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C级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70-79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D级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60-69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F级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60以下</w:t>
            </w:r>
          </w:p>
        </w:tc>
      </w:tr>
    </w:tbl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（2）与学院学生成长发展专项评比挂钩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择优推荐申报每年度苏州大学“美德学生”奖学金；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择优推荐申报院级、校级优秀共青团员、共青团干部；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择优推荐申报苏州大学优秀毕业生；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成长发展积分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在班级</w:t>
      </w:r>
      <w:r>
        <w:rPr>
          <w:rFonts w:hint="eastAsia" w:ascii="仿宋" w:hAnsi="仿宋" w:eastAsia="仿宋" w:cs="Times New Roman"/>
          <w:sz w:val="32"/>
          <w:szCs w:val="32"/>
        </w:rPr>
        <w:t>排名前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%的同学可申报学院成长发展专项评优。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.成长发展积分之发展分的积分项目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类型一：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理论学习积分（上限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2435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学习内容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5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青年大学习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95%-100%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90%-95%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85%-90%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80%-85%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完成率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80%以下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snapToGrid w:val="0"/>
        <w:spacing w:line="580" w:lineRule="exact"/>
        <w:jc w:val="both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类型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Times New Roman"/>
          <w:sz w:val="32"/>
          <w:szCs w:val="32"/>
        </w:rPr>
        <w:t>：社会工作积分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（累计上限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2435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集体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学生职务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校、院级学生组织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主席团成员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highlight w:val="none"/>
              </w:rPr>
              <w:t>部门负责人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志愿者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班团支部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班长、团支书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1</w:t>
            </w:r>
            <w:r>
              <w:rPr>
                <w:rFonts w:ascii="仿宋" w:hAnsi="仿宋" w:eastAsia="仿宋" w:cs="Calibr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学习委员、班助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>班委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宿舍长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" w:hAnsi="仿宋" w:eastAsia="仿宋" w:cs="Calibri"/>
                <w:sz w:val="24"/>
                <w:szCs w:val="24"/>
              </w:rPr>
              <w:t>社团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社团主要负责人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85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成长陪伴计划团队</w:t>
            </w:r>
          </w:p>
        </w:tc>
        <w:tc>
          <w:tcPr>
            <w:tcW w:w="1428" w:type="pct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eastAsia="zh-CN"/>
              </w:rPr>
              <w:t>陪伴导生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24"/>
          <w:szCs w:val="24"/>
        </w:rPr>
        <w:t>注意：1.所有社会工作积分均按照聘期完成后进行计算</w:t>
      </w:r>
      <w:r>
        <w:rPr>
          <w:rFonts w:ascii="仿宋" w:hAnsi="仿宋" w:eastAsia="仿宋" w:cs="微软雅黑"/>
          <w:sz w:val="24"/>
          <w:szCs w:val="24"/>
        </w:rPr>
        <w:t>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类型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Times New Roman"/>
          <w:sz w:val="32"/>
          <w:szCs w:val="32"/>
        </w:rPr>
        <w:t>：日常活动积分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（累计上限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2690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活动类型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对应积分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班团活动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上限10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班团支部组织开展的活动，参加即可获得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1积分。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打卡类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上限10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打卡类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包含英语学习打卡、体育运动打卡、健身操打卡等，学习打卡累计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7天计1积分，运动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打卡累计</w:t>
            </w:r>
            <w:r>
              <w:rPr>
                <w:rFonts w:hint="eastAsia" w:ascii="仿宋" w:hAnsi="仿宋" w:eastAsia="仿宋" w:cs="微软雅黑"/>
                <w:sz w:val="24"/>
                <w:szCs w:val="24"/>
                <w:lang w:val="en-US" w:eastAsia="zh-CN"/>
              </w:rPr>
              <w:t>3天计1积分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讲座类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上限10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讲座类包含宣讲会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、学术讲座、专题报告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等，参加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即可获得</w:t>
            </w:r>
            <w:r>
              <w:rPr>
                <w:rFonts w:hint="eastAsia" w:ascii="仿宋" w:hAnsi="仿宋" w:eastAsia="仿宋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积分。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征稿类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上限10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征稿类包含摄影作品、课堂笔记、学习心得等，参加即可获得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1积分，评优额外再获1积分。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比赛类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上限10</w:t>
            </w:r>
          </w:p>
        </w:tc>
        <w:tc>
          <w:tcPr>
            <w:tcW w:w="2916" w:type="dxa"/>
            <w:vAlign w:val="center"/>
          </w:tcPr>
          <w:p>
            <w:pPr>
              <w:jc w:val="left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比赛类包含校运会、新舞、炫舞、辩论赛、新英等校级文体活动，参赛成员获得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2积分，取得名次额外再获1积分。</w:t>
            </w:r>
          </w:p>
        </w:tc>
      </w:tr>
    </w:tbl>
    <w:p>
      <w:pPr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注：活动需学院指导老师审批同意后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方可发布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</w:rPr>
      </w:pP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类型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Times New Roman"/>
          <w:sz w:val="32"/>
          <w:szCs w:val="32"/>
        </w:rPr>
        <w:t>：集体荣誉积分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（累计上限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</w:p>
    <w:p>
      <w:pPr>
        <w:pStyle w:val="2"/>
        <w:snapToGrid w:val="0"/>
        <w:spacing w:line="580" w:lineRule="exact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班集体或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Times New Roman"/>
          <w:sz w:val="32"/>
          <w:szCs w:val="32"/>
        </w:rPr>
        <w:t>组织上学年获得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Times New Roman"/>
          <w:sz w:val="32"/>
          <w:szCs w:val="32"/>
        </w:rPr>
        <w:t>先进班集体、优良学风班级、优秀分部、五四红旗团支部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、十佳团日活动</w:t>
      </w:r>
      <w:r>
        <w:rPr>
          <w:rFonts w:hint="eastAsia" w:ascii="仿宋" w:hAnsi="仿宋" w:eastAsia="仿宋" w:cs="Times New Roman"/>
          <w:sz w:val="32"/>
          <w:szCs w:val="32"/>
        </w:rPr>
        <w:t>等集体荣誉，所在班集体或组织的成员，根据荣誉等级，可获得相应的积分。</w:t>
      </w:r>
    </w:p>
    <w:tbl>
      <w:tblPr>
        <w:tblStyle w:val="5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105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荣誉级别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主要筹备参与成员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校级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省级及以上</w:t>
            </w:r>
          </w:p>
        </w:tc>
        <w:tc>
          <w:tcPr>
            <w:tcW w:w="4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注</w:t>
      </w:r>
      <w:r>
        <w:rPr>
          <w:rFonts w:hint="eastAsia" w:ascii="仿宋" w:hAnsi="仿宋" w:eastAsia="仿宋" w:cs="Times New Roman"/>
          <w:sz w:val="24"/>
          <w:szCs w:val="24"/>
        </w:rPr>
        <w:t>：主要筹备参与人员需要由集体共同认定，原则上不超过</w:t>
      </w:r>
      <w:r>
        <w:rPr>
          <w:rFonts w:ascii="仿宋" w:hAnsi="仿宋" w:eastAsia="仿宋" w:cs="Times New Roman"/>
          <w:sz w:val="24"/>
          <w:szCs w:val="24"/>
        </w:rPr>
        <w:t>15%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三、成长发展积分相关管理举措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1.成长发展积分由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光电科学与工程学院学生事务中心</w:t>
      </w:r>
      <w:r>
        <w:rPr>
          <w:rFonts w:hint="eastAsia" w:ascii="仿宋" w:hAnsi="仿宋" w:eastAsia="仿宋" w:cs="Times New Roman"/>
          <w:sz w:val="32"/>
          <w:szCs w:val="32"/>
        </w:rPr>
        <w:t>负责汇总统计与公示。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2.学年成长发展积分的计算范围以奖学金评定学年为计算周期，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每学年开学两周内完成统计并进行公示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3.本条例由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光电科学与工程学院</w:t>
      </w:r>
      <w:r>
        <w:rPr>
          <w:rFonts w:hint="eastAsia" w:ascii="仿宋" w:hAnsi="仿宋" w:eastAsia="仿宋" w:cs="Times New Roman"/>
          <w:sz w:val="32"/>
          <w:szCs w:val="32"/>
        </w:rPr>
        <w:t>学生工作办公室与团委负责解释。</w:t>
      </w:r>
    </w:p>
    <w:p>
      <w:pPr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光电科学与工程学院</w:t>
      </w:r>
    </w:p>
    <w:p>
      <w:pPr>
        <w:ind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ascii="仿宋" w:hAnsi="仿宋" w:eastAsia="仿宋" w:cs="Times New Roman"/>
          <w:sz w:val="32"/>
          <w:szCs w:val="32"/>
        </w:rPr>
        <w:t>月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006076-F5B3-424D-811E-AA83F254707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6A5F824-3E59-4069-B462-09780F7A751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330656F-2ECD-41B0-AAC5-C4E215B701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1324F0-DD18-4D12-A124-82A809F26C6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84B7764A-2DF8-4746-AE98-16BCC3557D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Dk5MjE1YTY5OTkxNzY5MGYyMmUwZDlhMzI5ZmUifQ=="/>
  </w:docVars>
  <w:rsids>
    <w:rsidRoot w:val="47BA4642"/>
    <w:rsid w:val="037E5DCB"/>
    <w:rsid w:val="197B747F"/>
    <w:rsid w:val="29595B59"/>
    <w:rsid w:val="47BA4642"/>
    <w:rsid w:val="5CB54D70"/>
    <w:rsid w:val="64786160"/>
    <w:rsid w:val="714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2023-08-11T05:35:00Z</dcterms:created>
  <dc:creator>寻找MintRoy</dc:creator>
  <cp:lastModifiedBy>寻找MintRoy</cp:lastModifiedBy>
  <dcterms:modified xsi:type="dcterms:W3CDTF">2023-10-09T01:28:11Z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E18252555A664676BA108D39B84F419D_13</vt:lpwstr>
  </property>
</Properties>
</file>